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33" w:rsidRDefault="00572333">
      <w:pPr>
        <w:pStyle w:val="Title"/>
        <w:rPr>
          <w:sz w:val="24"/>
          <w:szCs w:val="24"/>
        </w:rPr>
      </w:pPr>
      <w:bookmarkStart w:id="0" w:name="_GoBack"/>
      <w:bookmarkEnd w:id="0"/>
    </w:p>
    <w:p w:rsidR="00572333" w:rsidRDefault="00063CC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572333" w:rsidRDefault="00063CC0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September 10th,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572333">
        <w:trPr>
          <w:trHeight w:val="840"/>
        </w:trPr>
        <w:tc>
          <w:tcPr>
            <w:tcW w:w="11430" w:type="dxa"/>
            <w:vAlign w:val="center"/>
          </w:tcPr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57233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We will now pause for a moment of silence.</w:t>
            </w:r>
          </w:p>
        </w:tc>
      </w:tr>
      <w:tr w:rsidR="00572333">
        <w:trPr>
          <w:trHeight w:val="400"/>
        </w:trPr>
        <w:tc>
          <w:tcPr>
            <w:tcW w:w="11430" w:type="dxa"/>
          </w:tcPr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This week’s Cool Tool: Emergency Preparedness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            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       </w:t>
            </w:r>
          </w:p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572333" w:rsidRDefault="005723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572333">
        <w:trPr>
          <w:trHeight w:val="5370"/>
        </w:trPr>
        <w:tc>
          <w:tcPr>
            <w:tcW w:w="11190" w:type="dxa"/>
          </w:tcPr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121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Here are today’s announcements</w:t>
            </w:r>
          </w:p>
          <w:p w:rsidR="00572333" w:rsidRDefault="00063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Being prepared for class means that you have everything you need.  Your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>chromebook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 is charged.  You have your mask on. Your water bottle is filled. You have all the materials you need for that class, and you are ready to go!  </w:t>
            </w:r>
          </w:p>
          <w:p w:rsidR="00572333" w:rsidRDefault="00063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>Keep up the great job of main</w:t>
            </w: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taining physical distance in the building and outside, as well as wearing your mask in the building.   </w:t>
            </w:r>
          </w:p>
          <w:p w:rsidR="00572333" w:rsidRDefault="00063CC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12121"/>
                <w:sz w:val="28"/>
                <w:szCs w:val="28"/>
                <w:highlight w:val="white"/>
              </w:rPr>
              <w:t xml:space="preserve">Remember to stay home if you are not well.  We want you here, but we want you to be healthy. </w:t>
            </w:r>
          </w:p>
          <w:p w:rsidR="00572333" w:rsidRDefault="00063CC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If you didn’t purchase a yearbook from the 2019-20 school 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year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, now is your chance! There are only fifteen left, If you are interested, come to the office to purchase one for $15.00</w:t>
            </w:r>
          </w:p>
          <w:p w:rsidR="00572333" w:rsidRDefault="00063CC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Today’s Cross Country meet is in Eureka beginning @ 4:15</w:t>
            </w:r>
          </w:p>
          <w:p w:rsidR="00572333" w:rsidRDefault="00063CC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Today’s Baseball game is @  Monroe beginning @ 4:30</w:t>
            </w:r>
          </w:p>
          <w:p w:rsidR="00572333" w:rsidRDefault="00063CC0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572333" w:rsidRDefault="00063CC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Maintain physical distancing inside the building and outside.</w:t>
            </w:r>
          </w:p>
          <w:p w:rsidR="00572333" w:rsidRDefault="00063CC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Wash your hands.</w:t>
            </w:r>
          </w:p>
          <w:p w:rsidR="00572333" w:rsidRDefault="00063CC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572333" w:rsidRDefault="00572333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572333">
        <w:trPr>
          <w:trHeight w:val="1455"/>
        </w:trPr>
        <w:tc>
          <w:tcPr>
            <w:tcW w:w="11190" w:type="dxa"/>
          </w:tcPr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Super Nachos(Meat, Chips, Cheese, Lettuce and Salsa) &amp; Fruit</w:t>
            </w:r>
          </w:p>
          <w:p w:rsidR="00572333" w:rsidRDefault="00572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Friday</w:t>
            </w:r>
            <w:r>
              <w:rPr>
                <w:rFonts w:ascii="Antique Olive" w:eastAsia="Antique Olive" w:hAnsi="Antique Olive" w:cs="Antique Olive"/>
                <w:b/>
                <w:u w:val="single"/>
              </w:rPr>
              <w:t>’s Breakfast Menu:</w:t>
            </w:r>
          </w:p>
          <w:p w:rsidR="00572333" w:rsidRDefault="00063CC0">
            <w:pPr>
              <w:spacing w:line="276" w:lineRule="auto"/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Cinnamon Bread &amp; Juice</w:t>
            </w:r>
          </w:p>
        </w:tc>
      </w:tr>
      <w:tr w:rsidR="00572333">
        <w:tc>
          <w:tcPr>
            <w:tcW w:w="11190" w:type="dxa"/>
            <w:vAlign w:val="center"/>
          </w:tcPr>
          <w:p w:rsidR="00572333" w:rsidRDefault="00063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</w:t>
            </w:r>
          </w:p>
        </w:tc>
      </w:tr>
    </w:tbl>
    <w:p w:rsidR="00572333" w:rsidRDefault="00572333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57233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30D"/>
    <w:multiLevelType w:val="multilevel"/>
    <w:tmpl w:val="8340AA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102914CC"/>
    <w:multiLevelType w:val="multilevel"/>
    <w:tmpl w:val="28CEF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3EA045C"/>
    <w:multiLevelType w:val="multilevel"/>
    <w:tmpl w:val="BE3E0952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2333"/>
    <w:rsid w:val="00063CC0"/>
    <w:rsid w:val="005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2020-09-10T12:48:00Z</dcterms:created>
  <dcterms:modified xsi:type="dcterms:W3CDTF">2020-09-10T12:48:00Z</dcterms:modified>
</cp:coreProperties>
</file>